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widowControl w:val="0"/>
        <w:spacing w:after="120" w:lineRule="auto"/>
        <w:rPr>
          <w:rFonts w:ascii="Aptos" w:cs="Aptos" w:eastAsia="Aptos" w:hAnsi="Aptos"/>
          <w:b w:val="1"/>
          <w:bCs w:val="1"/>
          <w:sz w:val="22"/>
          <w:szCs w:val="22"/>
        </w:rPr>
      </w:pPr>
      <w:bookmarkStart w:colFirst="0" w:colLast="0" w:name="_heading=h.69ujspw1jayp" w:id="0"/>
      <w:bookmarkEnd w:id="0"/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Postępowanie nr 1/CZAS/FERS.04.14</w:t>
      </w:r>
    </w:p>
    <w:p w:rsidR="00000000" w:rsidDel="00000000" w:rsidP="00000000" w:rsidRDefault="00000000" w:rsidRPr="00000000" w14:paraId="00000002">
      <w:pPr>
        <w:jc w:val="center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ZAPYTANIE OFERTOWE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PRZEPROWADZANE W TRYBIE ZASADY KONKURENCYJNOŚCI</w:t>
      </w:r>
    </w:p>
    <w:p w:rsidR="00000000" w:rsidDel="00000000" w:rsidP="00000000" w:rsidRDefault="00000000" w:rsidRPr="00000000" w14:paraId="00000004">
      <w:pPr>
        <w:jc w:val="center"/>
        <w:rPr>
          <w:rFonts w:ascii="Aptos" w:cs="Aptos" w:eastAsia="Aptos" w:hAnsi="Aptos"/>
          <w:i w:val="1"/>
          <w:iCs w:val="1"/>
          <w:sz w:val="22"/>
          <w:szCs w:val="22"/>
        </w:rPr>
      </w:pPr>
      <w:bookmarkStart w:colFirst="0" w:colLast="0" w:name="_heading=h.md0yeq65dz5w" w:id="1"/>
      <w:bookmarkEnd w:id="1"/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 projekcie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„Czas dla Opiekuna - Projekt Wzmocnienia Zdrowia Psychicznego Nieformalnych Opiekunów Seniorów” nr FERS.04.14-IP.07-0004/25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realizowanym w ramach Programu Fundusze Europejskie dla Rozwoju Społecznego współfinansowanego ze środków Europejskiego Funduszu Społecznego Plus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425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ZAMAWIAJĄCY:</w:t>
      </w:r>
    </w:p>
    <w:p w:rsidR="00000000" w:rsidDel="00000000" w:rsidP="00000000" w:rsidRDefault="00000000" w:rsidRPr="00000000" w14:paraId="00000006">
      <w:pPr>
        <w:ind w:left="426" w:firstLine="0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Psychologija Sp. z o.o.</w:t>
      </w:r>
    </w:p>
    <w:p w:rsidR="00000000" w:rsidDel="00000000" w:rsidP="00000000" w:rsidRDefault="00000000" w:rsidRPr="00000000" w14:paraId="00000007">
      <w:pPr>
        <w:ind w:left="426" w:firstLine="0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ul. Obrońców Pokoju 13/5, 13/5</w:t>
        <w:br w:type="textWrapping"/>
        <w:t xml:space="preserve">NIP: 7010401891, REGON: 146942097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238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ee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238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Prowadzący sprawę: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Ewelina Chojnowska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Adres poczty elektronicznej: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echojnowska@psychologija.pl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7">
        <w:r w:rsidDel="00000000" w:rsidR="00000000" w:rsidRPr="00000000">
          <w:rPr>
            <w:rFonts w:ascii="Aptos" w:cs="Aptos" w:eastAsia="Aptos" w:hAnsi="Aptos"/>
            <w:b w:val="0"/>
            <w:bCs w:val="0"/>
            <w:i w:val="0"/>
            <w:iCs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https://bazakonkurencyjnosci.funduszeeuropejskie.gov.pl/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426" w:right="0" w:hanging="426"/>
        <w:jc w:val="both"/>
        <w:rPr>
          <w:rFonts w:ascii="Aptos" w:cs="Aptos" w:eastAsia="Aptos" w:hAnsi="Aptos"/>
          <w:b w:val="1"/>
          <w:bCs w:val="1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OPIS PRZEDMIOTU ZAMÓWIENIA: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bookmarkStart w:colFirst="0" w:colLast="0" w:name="_heading=h.ok6c6dlz81co" w:id="2"/>
      <w:bookmarkEnd w:id="2"/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Informacje o projekcie:</w:t>
      </w:r>
    </w:p>
    <w:p w:rsidR="00000000" w:rsidDel="00000000" w:rsidP="00000000" w:rsidRDefault="00000000" w:rsidRPr="00000000" w14:paraId="0000000F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Celem projektu jest zapewnienie wsparcia psychologicznego, w formie grupowych</w:t>
      </w:r>
    </w:p>
    <w:p w:rsidR="00000000" w:rsidDel="00000000" w:rsidP="00000000" w:rsidRDefault="00000000" w:rsidRPr="00000000" w14:paraId="00000010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sesji wsparcia psychospołecznego oraz indywidualnych sesji psychologicznych, opiekunom</w:t>
      </w:r>
    </w:p>
    <w:p w:rsidR="00000000" w:rsidDel="00000000" w:rsidP="00000000" w:rsidRDefault="00000000" w:rsidRPr="00000000" w14:paraId="00000011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nieformalnym osób starszych, w tym osobom sprawującym opiekę nad osobami z chorobami</w:t>
      </w:r>
    </w:p>
    <w:p w:rsidR="00000000" w:rsidDel="00000000" w:rsidP="00000000" w:rsidRDefault="00000000" w:rsidRPr="00000000" w14:paraId="00000012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otępiennymi, w szczególności chorobą Alzheimera, na terenie województwa mazowieckiego i</w:t>
      </w:r>
    </w:p>
    <w:p w:rsidR="00000000" w:rsidDel="00000000" w:rsidP="00000000" w:rsidRDefault="00000000" w:rsidRPr="00000000" w14:paraId="00000013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podlaskiego.</w:t>
      </w:r>
    </w:p>
    <w:p w:rsidR="00000000" w:rsidDel="00000000" w:rsidP="00000000" w:rsidRDefault="00000000" w:rsidRPr="00000000" w14:paraId="00000014">
      <w:pPr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Przedmiotem zamówienia jest zapewnienie cateringu w postaci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przerwy kawowej dla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320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uczestników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grupowych sesji wsparcia psychologicznego. Liczba zaplanowanych przerw kawowych wynosi 384.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Kody CPV: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55520000-1-Usługi dostarczania posiłków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hanging="36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Zakres usługi, zasady realizacji, wymagania względem wykonawcy: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Zapewnienie wyżywienia (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catering w postaci przerwy kawowej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dla łącznie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320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UP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podczas każde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j grupowej sesji wsparcia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A">
      <w:pPr>
        <w:numPr>
          <w:ilvl w:val="3"/>
          <w:numId w:val="16"/>
        </w:numPr>
        <w:ind w:left="1134" w:hanging="283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Przerwa kawowa obejmuje: kawę, herbatę, wodę, soki, mleko, cukier, cytrynę, drobne słone lub słodkie przekąski typu paluszki/kruche ciastka/owoce;</w:t>
      </w:r>
    </w:p>
    <w:p w:rsidR="00000000" w:rsidDel="00000000" w:rsidP="00000000" w:rsidRDefault="00000000" w:rsidRPr="00000000" w14:paraId="0000001B">
      <w:pPr>
        <w:spacing w:after="120" w:lineRule="auto"/>
        <w:ind w:left="4505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" w:lineRule="auto"/>
        <w:ind w:left="851" w:right="128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Catering ma zostać przygotowany w oparciu o sezonowe warzywa i owoce, w miarę możliwości z wykorzystaniem produktów pochodzących z gospodarstw ekologicznych. </w:t>
      </w:r>
    </w:p>
    <w:p w:rsidR="00000000" w:rsidDel="00000000" w:rsidP="00000000" w:rsidRDefault="00000000" w:rsidRPr="00000000" w14:paraId="0000001D">
      <w:pPr>
        <w:widowControl w:val="0"/>
        <w:spacing w:before="3" w:lineRule="auto"/>
        <w:ind w:left="851" w:right="128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Catering powinien uwzględniać specjalne potrzeby żywieniowe UP (w przypadku osób, które zgłoszą specjalne potrzeby żywieniowe).</w:t>
      </w:r>
    </w:p>
    <w:p w:rsidR="00000000" w:rsidDel="00000000" w:rsidP="00000000" w:rsidRDefault="00000000" w:rsidRPr="00000000" w14:paraId="0000001E">
      <w:pPr>
        <w:spacing w:after="120" w:lineRule="auto"/>
        <w:ind w:left="851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Wykonawca zapewni również niezbędne naczynia i sztućce, </w:t>
      </w:r>
    </w:p>
    <w:p w:rsidR="00000000" w:rsidDel="00000000" w:rsidP="00000000" w:rsidRDefault="00000000" w:rsidRPr="00000000" w14:paraId="0000001F">
      <w:pPr>
        <w:spacing w:after="120" w:lineRule="auto"/>
        <w:ind w:left="851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Wykonawca ma obowiązek serwować jedzenie i napoje w naczyniach wielorazowego użytku, do ponownego wykorzystania,  nie jest dozwolone używanie plastikowych naczyń lub sztućców, istnieje możliwość wykorzystania naczyń biodegradowalnych.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Łączny wymiar usługi: 320 UP x 12 dni/UP = 3.840 osobodni.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zapewni catering dla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32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grup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wsparcia psychologicznego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(po śr. 10 UP), zlokalizowanych na obszarze realizacji projektu.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Spotkania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podczas których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zapewniony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będzie catering, realizowane są w trybie: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12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spotkań na grupę po 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90 minut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każde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 zajęcia odbywać się będą w dni powszednie lub weekend w zależności od potrzeb UP, śr.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raz na dwa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tygodni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e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Harmonogram zajęć dopasowany będzie do indywidualnych potrzeb UP, uwzględniający ich sytuację osobistą, rodzinną, sprawowanie opieki nad osobą zależną.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Wysokość wynagrodzenia Wykonawcy będzie uzależniona od faktycznie zrealizowanego wymiaru usługi.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sobie możliwość zmniejszenia wymiaru zamówienia, w szczególności w wyniku wprowadzonych zmian do umowy o dofinansowanie/ wniosku o dofinansowanie realizowanego projektu, trudności z rekrutacją założonej liczby UP do projektu, rezygnacji UP z dalszego udziału w projekcie, jak również w sytuacjach, których Zamawiający, działając z należytą starannością, nie mógł przewidzieć.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sobie również możliwość zwiększenia wymiaru zamówienia w szczególności w wyniku wprowadzonych zmian do umowy o dofinansowanie/ wniosku o dofinansowanie realizowanego projektu oraz w wyniku skierowania na daną formę wsparcia większej liczby 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zobowiązuje się do archiwizacji dokumentacji związanej z realizacją usługi oraz do poddania się kontroli/audytu – na zasadach opisanych w Rozdziale IV Warunki zawarcia umowy.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Rzetelna i terminowa, zgodna z wymogami projektowymi realizacja usługi, w tym prowadzenie dokumentacji, potwierdzeń odbioru cateringu.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Pozostawanie w okresie realizacji usługi w pełnej dyspozycyjności Zamawiającego rozumiane jako realizacja przedmiotu zamówienia w miejscu i czasie ściśle określonym przez Zamawiającego, w oparciu o przedstawiany na bieżąco przez Zamawiającego harmonogram, uaktualniany w odniesieniu do możliwości i potrzeb 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Przekazywanie Zamawiającemu wszelkiej oryginalnej dokumentacji związanej z usługą w terminie do 3 dni roboczych po zakończonej usłudze, a zeskanowanych dokumentów na każde wezwanie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Informowanie UP o współfinansowaniu wsparcia ze środków Unii Europejskiej w ramach Europejskiego Funduszu Społecznego Plus.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Prawidłowa i efektywna realizacja powierzonych zadań.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Sporządzanie i przekazywanie Zamawiającemu po przeprowadzeniu usługi protokołu wskazującego prawidłowe wykonanie zadań.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425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Realizacja usługi z zachowaniem zasady zrównoważonego rozwoju poprzez: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2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obowiązek serwowania jedzenia i napojów w naczyniach wielorazowego użytku, do ponownego wykorzystania, np. szklanych lub ceramicznych; nie jest dozwolone używanie plastikowych naczyń lub sztućców, istnieje możliwość wykorzystania naczyń biodegradowalnych,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2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druk dwustronny na ekologicznym papierze, drukowanie w kolorze, gdy jest to niezbędne jako domyślne ustawienie drukowania w szarościach w trybie oszczędzania tonera,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2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odpowiednia segregacja odpadów - np. wyrzucanie zużytego papieru do pojemników na makulaturę, itp.,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2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1276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stosowanie ekologicznego papieru i środków czystości.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120" w:lineRule="auto"/>
        <w:ind w:left="426" w:hanging="284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Termin realizacji: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kwiecień 2026 – marzec 2028.</w:t>
      </w:r>
    </w:p>
    <w:p w:rsidR="00000000" w:rsidDel="00000000" w:rsidP="00000000" w:rsidRDefault="00000000" w:rsidRPr="00000000" w14:paraId="00000032">
      <w:pPr>
        <w:spacing w:after="120" w:lineRule="auto"/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Dokładny harmonogram realizacji usługi będzie wskazywany przez Zamawiającego w trakcie realizacji projektu, a zależeć będzie od przebiegu rekrutacji UP i realizacji pozostałych działań w projekcie.</w:t>
      </w:r>
    </w:p>
    <w:p w:rsidR="00000000" w:rsidDel="00000000" w:rsidP="00000000" w:rsidRDefault="00000000" w:rsidRPr="00000000" w14:paraId="00000033">
      <w:pPr>
        <w:spacing w:after="120" w:lineRule="auto"/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Zamawiający zastrzega sobie możliwość przesunięcia terminu realizacji zamówienia, w szczególności w wyniku wystąpienia trudności z rekrutacją założonej liczby UP do projektu, 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Miejsce realizacji usługi: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województwo mazowieckie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oraz województwo podlaskie.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Dokładne miejsca realizacji usługi będą wskazywane przez Zamawiającego w trakcie realizacji projektu, a zależeć będą od miejsc zamieszkania rekrutowanych UP oraz od zgłoszonych przez UP uzasadnionych potrzeb w zakresie organizacji wsparcia.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sobie możliwość zmiany miejsca realizacji usługi w szczególności w wyniku wprowadzonych zmian do umowy o dofinansowanie/wniosku o dofinansowanie realizowanego projektu, przy czym zmiana miejsca realizacji może ograniczać się jedynie do obszaru wskazanych powiatów.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Wynagrodzenie współfinansowane będzie ze środków Unii Europejskiej w ramach Europejskiego Funduszu Społecznego Plus.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OPIS WARUNKÓW UDZIAŁU W POSTĘPOWANIU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Wybór Wykonawcy odbywa się z zachowaniem zasady konkurencyjności określonej w Wytycznych dotyczących kwalifikowalności wydatków na lata 2021-2027, bez stosowania procedur określonych w ustawie z dnia 11 września 2019 r. – Prawo zamówień publicznych 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Dz.U. z 2019 r. poz. 2019; t.j. Dz.U. z 2024 r. poz. 1320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składania ofert zapraszamy wyłącznie Wykonawców spełniających łącznie następujące warunki: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numPr>
          <w:ilvl w:val="2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Dysponują potencjałem organizacyjno-technicznym umożliwiającym wykonanie usługi.</w:t>
      </w:r>
    </w:p>
    <w:p w:rsidR="00000000" w:rsidDel="00000000" w:rsidP="00000000" w:rsidRDefault="00000000" w:rsidRPr="00000000" w14:paraId="0000003C">
      <w:pPr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3D">
      <w:pPr>
        <w:widowControl w:val="0"/>
        <w:spacing w:after="120" w:lineRule="auto"/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Oferent wraz z ofertą składa Załącznik nr 1 – Formularz oferty zawierający w treści oświadczenia o spełnianiu wymagań, w którym potwierdza spełnianie powyższego warunku.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numPr>
          <w:ilvl w:val="2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Znajdują się w sytuacji ekonomicznej i finansowej umożliwiającej realizację zamówienia.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wraz z ofertą składa Załącznik nr 1 – Formularz oferty zawierający w treści oświadczenia o spełnianiu wymagań, w którym potwierdza spełnianie powyższego warunku.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numPr>
          <w:ilvl w:val="2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osób prawnych oraz osób fizycznych prowadzących jednoosobową działalność gospodarczą: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Ww. warunek ma celu zapewnienie właściwego i bezpiecznego przetwarzania danych osobowych Uczestników, które zostaną powierzone Wykonawcy w celu realizacji zamówienia.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wraz z ofertą składa Załącznik nr 1 – Formularz oferty zawierający w treści oświadczenia o spełnianiu wymagań, w którym potwierdza spełnianie powyższego warunku.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numPr>
          <w:ilvl w:val="2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osobowej;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10% udziałów lub akcji (o ile niższy próg nie wynika z przepisów prawa);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pełnomocnika;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numPr>
          <w:ilvl w:val="3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zamawiającym w takim stosunku prawnym lub faktycznym, że istnieje uzasadniona wątpliwość co do ich bezstronności lub niezależności w związku z postępowaniem o udzielenie zamówienia.</w:t>
      </w:r>
    </w:p>
    <w:p w:rsidR="00000000" w:rsidDel="00000000" w:rsidP="00000000" w:rsidRDefault="00000000" w:rsidRPr="00000000" w14:paraId="0000004C">
      <w:pPr>
        <w:widowControl w:val="0"/>
        <w:spacing w:after="120" w:lineRule="auto"/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Dodatkowo z postępowania zostaną wykluczeni Wykonawcy w przypadku wystąpienia konfliktu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wraz z ofertą składa Załącznik nr 1 – Formularz oferty zawierający w treści oświadczenia o spełnianiu wymagań, w którym potwierdza brak występowania powiązań i brak konfliktu interesów.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Wykonawcy pozostający w powiązaniu opisanym powyżej lub konflikcie interesów zostaną wykluczeni z postępowania.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2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należą do kategorii Wykonawców wykluczonych z postępowania, tj.: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709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:rsidR="00000000" w:rsidDel="00000000" w:rsidP="00000000" w:rsidRDefault="00000000" w:rsidRPr="00000000" w14:paraId="00000052">
      <w:pPr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53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Zamawiający nie dokonuje opisu sposobu oceny spełnienia tego warunku. Wykonawca podpisując ofertę jednocześnie oświadcza spełnienie tego warunku. </w:t>
      </w:r>
    </w:p>
    <w:p w:rsidR="00000000" w:rsidDel="00000000" w:rsidP="00000000" w:rsidRDefault="00000000" w:rsidRPr="00000000" w14:paraId="00000054">
      <w:pPr>
        <w:ind w:left="709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:rsidR="00000000" w:rsidDel="00000000" w:rsidP="00000000" w:rsidRDefault="00000000" w:rsidRPr="00000000" w14:paraId="00000056">
      <w:pPr>
        <w:ind w:firstLine="705"/>
        <w:jc w:val="both"/>
        <w:rPr>
          <w:rFonts w:ascii="Aptos" w:cs="Aptos" w:eastAsia="Aptos" w:hAnsi="Aptos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58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Zamawiający nie dokonuje opisu sposobu oceny spełnienia tego warunku. Wykonawca podpisując ofertę jednocześnie oświadcza spełnienie tego warunku.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celu spełnienia tego warunku Wykonawca zobowiązany jest przedłożyć wraz z ofertą: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4.0000000000000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Wykonawców będących osobami fizycznymi, których prawomocnie skazano za przestępstwo: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udziału w zorganizowanej grupie przestępczej albo związku mającym na celu popełnienie przestępstwa lub przestępstwa skarbowego, o którym mowa w art. 258 Kodeksu karnego, 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handlu ludźmi, o którym mowa w art. 189a Kodeksu karnego, 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 którym mowa w art. 228-230a, art. 250a Kodeksu karnego, w art. 46-48 ustawy z dnia 25 czerwca 2010 r. o sporcie 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Dz.U. z 2023 r. 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poz. 2048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 oraz z 2024 r. 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poz. 1166) lub w art. 54 ust. 1-4 ustawy z dnia 12 maja 2011 r. o refundacji leków, środków spożywczych specjalnego przeznaczenia żywieniowego oraz wyrobów medycznych 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Dz.U. z 2024 r. 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poz. 930),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 charakterze terrorystycznym, o którym mowa w art. 115 § 20 Kodeksu karnego, lub mające na celu popełnienie tego przestępstwa, 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lub za odpowiedni czyn zabroniony określony w przepisach prawa obcego;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Dz.U. z 2019 r. poz. 2019; t.j. Dz.U. z 2024 r. poz. 1320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 wystawioną nie wcześniej niż 6 miesięcy przed upływem terminu składania ofert. 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ind w:left="709" w:hanging="283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Wykonawców, wobec których prawomocnie orzeczono zakaz ubiegania się o zamówienia publiczne; </w:t>
      </w:r>
    </w:p>
    <w:p w:rsidR="00000000" w:rsidDel="00000000" w:rsidP="00000000" w:rsidRDefault="00000000" w:rsidRPr="00000000" w14:paraId="0000006E">
      <w:pPr>
        <w:ind w:left="1134" w:hanging="4.000000000000057"/>
        <w:jc w:val="both"/>
        <w:rPr>
          <w:rFonts w:ascii="Aptos" w:cs="Aptos" w:eastAsia="Aptos" w:hAnsi="Aptos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70">
      <w:pPr>
        <w:ind w:left="426" w:hanging="3.999999999999986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Del="00000000" w:rsidR="00000000" w:rsidRPr="00000000">
        <w:rPr>
          <w:rFonts w:ascii="Aptos" w:cs="Aptos" w:eastAsia="Aptos" w:hAnsi="Aptos"/>
          <w:sz w:val="22"/>
          <w:szCs w:val="22"/>
          <w:highlight w:val="white"/>
          <w:rtl w:val="0"/>
        </w:rPr>
        <w:t xml:space="preserve">Dz.U. z 2019 r. poz. 2019; t.j. Dz.U. z 2024 r. poz. 1320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) wystawioną nie wcześniej niż 6 miesięcy przed upływem terminu składania ofert. </w:t>
      </w:r>
    </w:p>
    <w:p w:rsidR="00000000" w:rsidDel="00000000" w:rsidP="00000000" w:rsidRDefault="00000000" w:rsidRPr="00000000" w14:paraId="00000071">
      <w:pPr>
        <w:ind w:left="426" w:hanging="3.999999999999986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Dz.U. z 2019 r. poz. 2019; t.j. Dz.U. z 2024 r. poz. 1320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);   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28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75">
      <w:pPr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Del="00000000" w:rsidR="00000000" w:rsidRPr="00000000">
        <w:rPr>
          <w:rFonts w:ascii="Aptos" w:cs="Aptos" w:eastAsia="Aptos" w:hAnsi="Aptos"/>
          <w:sz w:val="22"/>
          <w:szCs w:val="22"/>
          <w:highlight w:val="white"/>
          <w:rtl w:val="0"/>
        </w:rPr>
        <w:t xml:space="preserve">Dz.U. z 2019 r. poz. 2019; t.j. Dz.U. z 2024 r. poz. 1320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) wystawioną nie wcześniej niż 6 miesięcy przed upływem terminu składania ofert. </w:t>
      </w:r>
    </w:p>
    <w:p w:rsidR="00000000" w:rsidDel="00000000" w:rsidP="00000000" w:rsidRDefault="00000000" w:rsidRPr="00000000" w14:paraId="00000076">
      <w:pPr>
        <w:ind w:left="1134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4.0000000000000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Wykonawców wykluczonych z postępowania na podstawie art. 7 ust. 1 w zw. z art. 7 ust. 9 ustawy z dnia 13 kwietnia 2022 r. o szczególnych rozwiązaniach w zakresie przeciwdziałania wspieraniu agresji na Ukrainę oraz służących ochronie bezpieczeństwa narodowego (t.j. Dz.U. z 2024 r. poz. 507).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Opis weryfikacji spełniania warunku: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Oferent wraz z ofertą składa Załącznik nr 1 – Formularz oferty zawierający w treści oświadczenia o spełnianiu wymagań oraz Załącznik nr 2 Oświadczenie w zakresie objęcia sankcjami. Wykonawcy pozostający w powiązaniu opisanym powyżej zostaną wykluczeni z postępowania.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4.0000000000000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Złożyli nieprawdziwe informacje mające wpływ na wynik prowadzonego postępowania;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Opis weryfikacji spełniania warunku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7D">
      <w:pPr>
        <w:widowControl w:val="0"/>
        <w:spacing w:after="120" w:lineRule="auto"/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Zamawiający nie dokonuje opisu sposobu oceny spełnienia tego warunku. Wykonawca podpisując ofertę jednocześnie oświadcza spełnienie tego warunku.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 złożyli oświadczenia o spełnianiu warunków udziału w postępowaniu lub dokumentów potwierdzających spełnianie tych warunków lub złożone dokumenty zawierają błędy.</w:t>
      </w:r>
    </w:p>
    <w:p w:rsidR="00000000" w:rsidDel="00000000" w:rsidP="00000000" w:rsidRDefault="00000000" w:rsidRPr="00000000" w14:paraId="0000007F">
      <w:pPr>
        <w:widowControl w:val="0"/>
        <w:spacing w:after="120" w:lineRule="auto"/>
        <w:ind w:left="426" w:firstLine="0"/>
        <w:jc w:val="both"/>
        <w:rPr>
          <w:rFonts w:ascii="Aptos" w:cs="Aptos" w:eastAsia="Aptos" w:hAnsi="Aptos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Opis weryfikacji spełniania warunku:</w:t>
      </w:r>
    </w:p>
    <w:p w:rsidR="00000000" w:rsidDel="00000000" w:rsidP="00000000" w:rsidRDefault="00000000" w:rsidRPr="00000000" w14:paraId="00000080">
      <w:pPr>
        <w:widowControl w:val="0"/>
        <w:spacing w:after="120" w:lineRule="auto"/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Ocena kompletności i poprawności złożonych dokumentów.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Ofertę należy złożyć na formularzach, których wzory stanowią załączniki do niniejszego zapytania ofertowego.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musi być wypełniona w sposób czytelny w języku polskim.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nie dopuszcza możliwości składania ofert częściowych.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nie dopuszcza możliwości składania ofert wariantowych.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jest związany ofertą przez okres 30 dni od dnia upływu terminu składania ofert.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Ofertę zatrzymuje Zamawiający. Złożone wraz z ofertą dokumenty lub oświadczenia nie podlegają zwrotowi.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sobie prawo do poprawienia w tekście przesłanej oferty oczywistych omyłek pisarskich lub rachunkowych, niezwłocznie zawiadamiając o tym danego Wykonawcę.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e-mail.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Każdy Wykonawca może złożyć tylko jedną ofertę.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zabrania jakichkolwiek modyfikacji treści dokumentów, z wyjątkiem miejsc służących do wypełnienia oferty.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Jakiekolwiek odstępstwo od wyżej opisanego sposobu przygotowania oferty jest równoznaczne z jej odrzuceniem, ze względu na niespełnienie kryteriów formalnych.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sobie prawo przedłużenia terminu składania ofert oraz do unieważnienia zapytania bez ponoszenia jakichkolwiek skutków prawnych i finansowych.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upływu terminu składania ofert Zamawiający zastrzega sobie prawo zmiany lub uzupełnienia treści niniejszego zapytania ofertowego.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Miejsce i termin składania ofert: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Termin składania ofert upływa </w:t>
      </w:r>
      <w:r w:rsidDel="00000000" w:rsidR="00000000" w:rsidRPr="00000000">
        <w:rPr>
          <w:rFonts w:ascii="Aptos" w:cs="Aptos" w:eastAsia="Aptos" w:hAnsi="Aptos"/>
          <w:sz w:val="22"/>
          <w:szCs w:val="22"/>
          <w:u w:val="single"/>
          <w:rtl w:val="0"/>
        </w:rPr>
        <w:t xml:space="preserve">26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ptos" w:cs="Aptos" w:eastAsia="Aptos" w:hAnsi="Aptos"/>
          <w:sz w:val="22"/>
          <w:szCs w:val="22"/>
          <w:u w:val="single"/>
          <w:rtl w:val="0"/>
        </w:rPr>
        <w:t xml:space="preserve">03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.202</w:t>
      </w:r>
      <w:r w:rsidDel="00000000" w:rsidR="00000000" w:rsidRPr="00000000">
        <w:rPr>
          <w:rFonts w:ascii="Aptos" w:cs="Aptos" w:eastAsia="Aptos" w:hAnsi="Aptos"/>
          <w:sz w:val="22"/>
          <w:szCs w:val="22"/>
          <w:u w:val="single"/>
          <w:rtl w:val="0"/>
        </w:rPr>
        <w:t xml:space="preserve">6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 r. do godziny </w:t>
      </w:r>
      <w:r w:rsidDel="00000000" w:rsidR="00000000" w:rsidRPr="00000000">
        <w:rPr>
          <w:rFonts w:ascii="Aptos" w:cs="Aptos" w:eastAsia="Aptos" w:hAnsi="Aptos"/>
          <w:sz w:val="22"/>
          <w:szCs w:val="22"/>
          <w:u w:val="single"/>
          <w:rtl w:val="0"/>
        </w:rPr>
        <w:t xml:space="preserve">23:59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Ofertę należy złożyć poprzez Bazę Konkurencyjności BK2021 </w:t>
      </w:r>
      <w:hyperlink r:id="rId8">
        <w:r w:rsidDel="00000000" w:rsidR="00000000" w:rsidRPr="00000000">
          <w:rPr>
            <w:rFonts w:ascii="Aptos" w:cs="Aptos" w:eastAsia="Aptos" w:hAnsi="Aptos"/>
            <w:b w:val="0"/>
            <w:bCs w:val="0"/>
            <w:i w:val="0"/>
            <w:iCs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https://bazakonkurencyjnosci.funduszeeuropejskie.gov.pl/</w:t>
        </w:r>
      </w:hyperlink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zgodnie z instrukcją zamieszczoną na Bazie konkurencyjności.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jest składana w:</w:t>
      </w:r>
    </w:p>
    <w:p w:rsidR="00000000" w:rsidDel="00000000" w:rsidP="00000000" w:rsidRDefault="00000000" w:rsidRPr="00000000" w14:paraId="00000094">
      <w:pPr>
        <w:ind w:left="709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formie elektronicznej (w rozumieniu przepisów Kodeksu cywilnego);</w:t>
      </w:r>
    </w:p>
    <w:p w:rsidR="00000000" w:rsidDel="00000000" w:rsidP="00000000" w:rsidRDefault="00000000" w:rsidRPr="00000000" w14:paraId="00000095">
      <w:pPr>
        <w:ind w:left="709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postaci elektronicznej opatrzonej podpisem zaufanym (w rozumieniu ustawy z 17 lutego 2005 o informatyzacji działalności podmiotów realizujących zadania publiczne).</w:t>
      </w:r>
    </w:p>
    <w:p w:rsidR="00000000" w:rsidDel="00000000" w:rsidP="00000000" w:rsidRDefault="00000000" w:rsidRPr="00000000" w14:paraId="00000096">
      <w:pPr>
        <w:ind w:left="709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w formie skanu (elektronicznego odwzorowania) dokumentu podpisanego w postaci papierowej.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Poszczególne oświadczenia i dokumenty muszą być złożone: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 oryginale (jeżeli zostały złożone lub wystawione w formie elektronicznej lub postaci elektronicznej) lub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w formie skanu (elektronicznego odwzorowania) dokumentu wystawionego w postaci papierowej opatrzonego przez Wykonawcę kwalifikowanym podpisem elektronicznym lub podpisem zaufanym.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 datę przekazania oferty przyjmuje się datę jej przekazania na platformę BK2021.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powinna być podpisana przez osobę/y uprawnione do składania oświadczeń woli w imieniu Wykonawcy, wg dokumentów rejestrowych lub właściwego pełnomocnictwa dołączonego do oferty.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informuje, iż każdy Wykonawca ubiegający się o realizację zamówienia zobowiązany jest przed upływem terminu składania ofert do wniesienia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wadium 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pieniądzu w wysokości 1000,00 zł (słownie: jeden tysiąc złotych), na wskazany przez Zamawiającego rachunek: </w:t>
      </w:r>
      <w:r w:rsidDel="00000000" w:rsidR="00000000" w:rsidRPr="00000000">
        <w:rPr>
          <w:rFonts w:ascii="Aptos" w:cs="Aptos" w:eastAsia="Aptos" w:hAnsi="Aptos"/>
          <w:sz w:val="22"/>
          <w:szCs w:val="22"/>
          <w:highlight w:val="white"/>
          <w:rtl w:val="0"/>
        </w:rPr>
        <w:t xml:space="preserve">84 1050 1953 1000 0090 8192 9888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W tytule przelewu należy wpisać: &gt;&gt;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w postępowaniu numer nr 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1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CZAS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/FE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RS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rtl w:val="0"/>
        </w:rPr>
        <w:t xml:space="preserve">04.14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&lt;&lt;.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poręczeniach udzielanych przez podmioty, o których mowa w art. 6b ust. 5 pkt 2 ustawy z dnia 9 listopada 2000 r. o utworzeniu Polskiej Agencji Rozwoju Przedsiębiorczości (Dz.U. z 2023 r. poz. 462).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gwarancjach bankowych.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gwarancjach ubezpieczeniowych.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prawidłowości wniesienia wadium w formie pieniężnej decyduje m.in. data i godzina zaksięgowania środków na koncie Zamawiającego.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zobowiązany jest dołączyć do oferty potwierdzenie wniesienia wadium.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Jeżeli wadium jest wnoszone w formie gwarancji lub poręczenia, wykonawca przekazuje Zamawiającemu oryginał gwarancji lub poręczenia, w postaci elektronicznej.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Gwarancje i poręczenia złożone jako wadium muszą posiadać okres ważności nie krótszy niż termin związania ofertą, pod rygorem wykluczenia Wykonawcy z postępowania.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Niewniesienie wadium w wymaganym terminie, w wymaganej wysokości lub w wymaganej formie skutkuje wykluczeniem Wykonawcy z postępowania.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zwróci wadia Wykonawcom: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Których oferty nie podlegały ocenie z uwagi na niespełnienie warunków udziału w postępowaniu – niezwłocznie po rozstrzygnięciu postępowania lub po unieważnieniu postępowania;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Których oferty podlegały ocenie – niezwłocznie po wyborze oferty najkorzystniejszej i podpisaniu umowy lub po unieważnieniu postępowania.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zatrzyma wadium Wykonawcy, którego oferta została wybrana, jeżeli: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odmówi podpisania umowy w sprawie realizacji zamówienia na warunkach określonych w zapytaniu ofertowym i ofercie;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Zawarcie umowy w sprawie realizacji zamówienia stało się niemożliwe z przyczyn leżących po stronie Wykonawcy.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426" w:right="0" w:hanging="426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WARUNKI ZAWARCIA UMOWY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informuje, a Wykonawca składając ofertę, akceptuje, że w umowie będą znajdowały się między innymi następujące zapisy: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staranności, w szczególności w przypadkach rażącego naruszenia przez Wykonawcę warunków umowy, o których mowa w opisie przedmiotu zamówienia.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Przewidujące karę umowną w wysokości 15% łącznego wynagrodzenia Wykonawcy – w przypadku niezaangażowania przy realizacji zamówienia osoby z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niepełnosprawnością, pomimo zadeklarowania tego faktu w złożonej Ofercie.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Zastrzegające Zamawiającemu możliwość potrącenia naliczonych kar umownych z wynagrodzenia Wykonawcy.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Zastrzegające możliwość niezwłocznego odstąpienia od umowy przez Zamawiającego w przypadku naruszenia przez Wykonawcę warunków podpisanej umowy, w tym m.in.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284.0000000000000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qztws4rkc6ip" w:id="3"/>
      <w:bookmarkEnd w:id="3"/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Stwierdzenia przez Zamawiającego jakiegokolwiek uchybienia, zmiany, opóźnienia i realizacji przedmiotu umowy niezgodnie z przedstawianym przez Zamawiającego harmonogramem oraz nieuwzględniania dodatkowych wymagań Zamawiającego zgłaszanych podczas świadczenia usługi, np. związanych z potrzebami żywieniowymi UP.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numPr>
          <w:ilvl w:val="3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284.0000000000000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Uznania bądź kwestionowania przez zewnętrzną instytucję kontrolującą poszczególnych wydatków związanych z realizacją Projektu, w tym zadań, bądź ich części za niekwalifikowane z uwagi na uchybienia Wykonawcy w trakcie realizacji przedmiotu umowy.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Nakładające na Wykonawcę obowiązek poddania się kontroli/audytu, tj.: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Obowiązek niezwłocznego udostępniania Zamawiającemu do kontroli oraz audytu wszelkich dokumentów związanych, jak i niezwiązanych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uprawnionych instytucji zewnętrznych, w szczególności: Komisji Europejskiej, Europejskiemu Trybunałowi Obrachunkowemu, Europejskiemu Urzędowi ds. Zwalczania Nadużyć Finansowych, Instytucjom Audytowym, Najwyższej Izbie Kontroli;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Niezwłocznego informowania Zamawiającego o każdej prowadzonej kontroli;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Zapewnienia zespołowi kontrolującemu, monitorującemu i weryfikującemu wydatki:</w:t>
      </w:r>
    </w:p>
    <w:p w:rsidR="00000000" w:rsidDel="00000000" w:rsidP="00000000" w:rsidRDefault="00000000" w:rsidRPr="00000000" w14:paraId="000000BB">
      <w:pPr>
        <w:spacing w:after="120" w:lineRule="auto"/>
        <w:ind w:left="1134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nieograniczony wgląd we wszystkie oryginalne dokumenty lub ich uwierzytelnione odpisy, w tym elektroniczne wersje dokumentów oryginalnych związanych z realizacją zamówienia,</w:t>
      </w:r>
    </w:p>
    <w:p w:rsidR="00000000" w:rsidDel="00000000" w:rsidP="00000000" w:rsidRDefault="00000000" w:rsidRPr="00000000" w14:paraId="000000BC">
      <w:pPr>
        <w:spacing w:after="120" w:lineRule="auto"/>
        <w:ind w:left="1134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tworzenie uwierzytelnionych kopii i odpisów dokumentów,</w:t>
      </w:r>
    </w:p>
    <w:p w:rsidR="00000000" w:rsidDel="00000000" w:rsidP="00000000" w:rsidRDefault="00000000" w:rsidRPr="00000000" w14:paraId="000000BD">
      <w:pPr>
        <w:spacing w:after="120" w:lineRule="auto"/>
        <w:ind w:left="1134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zapewnienie Zamawiającemu i wskazanym wyżej podmiotom nieograniczony dostęp, w szczególności do urządzeń, obiektów, pomieszczeń i terenów realizacji zamówienia oraz ich dokumentacji oraz do miejsc, gdzie zgromadzona jest dokumentacja dotycząca realizowanego zamówienia,</w:t>
      </w:r>
    </w:p>
    <w:p w:rsidR="00000000" w:rsidDel="00000000" w:rsidP="00000000" w:rsidRDefault="00000000" w:rsidRPr="00000000" w14:paraId="000000BE">
      <w:pPr>
        <w:spacing w:after="120" w:lineRule="auto"/>
        <w:ind w:left="1134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udzielanie wszelkich żądanych wyjaśnień dotyczących realizacji zamówienia w formie pisemnej i ustnej,</w:t>
      </w:r>
    </w:p>
    <w:p w:rsidR="00000000" w:rsidDel="00000000" w:rsidP="00000000" w:rsidRDefault="00000000" w:rsidRPr="00000000" w14:paraId="000000BF">
      <w:pPr>
        <w:spacing w:after="120" w:lineRule="auto"/>
        <w:ind w:left="1134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tworzenie zestawień, opracowań, odpowiedzi na zapytania zespołów kontrolujących i zespołów weryfikujących wydatki,</w:t>
      </w:r>
    </w:p>
    <w:p w:rsidR="00000000" w:rsidDel="00000000" w:rsidP="00000000" w:rsidRDefault="00000000" w:rsidRPr="00000000" w14:paraId="000000C0">
      <w:pPr>
        <w:spacing w:after="120" w:lineRule="auto"/>
        <w:ind w:left="1134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- dostępu do związanych z zamówieniem systemów informatycznych przez cały okres archiwizacji dokumentów, do którego zobowiązany jest Wykonawca.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Współpracy z podmiotami zewnętrznymi, realizującymi badanie ewaluacyjne na zlecenie Instytucji Zarządzającej, Instytucji Pośredniczącej lub innego podmiotu, który zawarł umowę lub porozumienie z Instytucją Zarządzającą lub Instytucją Pośredniczącą na realizację ewaluacji. Wykonawca jest zobowiązany do udzielania każdorazowo na wniosek tych podmiotów dokumentów i informacji na temat realizacji usługi, niezbędnych do przeprowadzenia badania ewaluacyjnego.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Zobowiązujące Wykonawcę do przechowywania i udostępniania dokumentacji związanej z realizacją zamówienia: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okres pięciu lat od dnia 31 grudnia roku, w którym Instytucja Pośrednicząca dokonała ostatniej płatności na rzecz Zamawiającego. Okres, o którym mowa w zdaniu pierwszym, zostaje wstrzymywany w przypadku wszczęcia postępowania prawnego albo na wniosek Komisji Europejskiej. Instytucja Pośrednicząca może przedłużyć wskazany powyżej termin, informując o tym Zamawiającego na piśmie przed upływem tego terminu (w takiej sytuacji Zamawiający powiadomi Wykonawcę o przedłużeniu terminu);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dokumentów dotyczących pomocy publicznej lub pomocy de minimis - przez okres 10 lat, licząc od dnia jej otrzymania, o ile Projekt dotyczy pomocy publicznej lub pomocy de minimis;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sposób zapewniający dostępność, poufność i bezpieczeństwo oraz poinformowania Zamawiającego o miejscu jej archiwizacji, jeśli jest archiwizowana poza siedzibą Wykonawcy. W przypadku zmiany miejsca archiwizacji dokumentów oraz w przypadku zawieszenia, zaprzestania lub likwidacji przez Wykonawcę działalności przed terminem, o którym mowa powyżej, Wykonawca zobowiązany jest niezwłocznie pisemnie poinformować Zamawiającego o miejscu archiwizacji dokumentów związanych z realizowanym zamówieniem.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134" w:right="0" w:hanging="36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formie oryginałów albo ich uwierzytelnionych odpisów lub na powszechnie uznanych nośnikach danych, w tym jako elektroniczne wersje dokumentów oryginalnych lub dokumenty istniejące wyłącznie w wersji elektronicznej.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426" w:right="0" w:hanging="426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KRYTERIA OCENY OFERT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le1"/>
        <w:tblW w:w="7512.0" w:type="dxa"/>
        <w:jc w:val="left"/>
        <w:tblInd w:w="4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67"/>
        <w:gridCol w:w="3118"/>
        <w:gridCol w:w="3827"/>
        <w:tblGridChange w:id="0">
          <w:tblGrid>
            <w:gridCol w:w="567"/>
            <w:gridCol w:w="3118"/>
            <w:gridCol w:w="3827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CA">
            <w:pPr>
              <w:spacing w:after="120" w:lineRule="auto"/>
              <w:jc w:val="center"/>
              <w:rPr>
                <w:rFonts w:ascii="Aptos" w:cs="Aptos" w:eastAsia="Aptos" w:hAnsi="Aptos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sz w:val="22"/>
                <w:szCs w:val="22"/>
                <w:rtl w:val="0"/>
              </w:rPr>
              <w:t xml:space="preserve">Kryterium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Liczba punktów możliwych do uzyskania (waga)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Cena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Klauzule społeczne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Czas reakcji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right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D9">
      <w:pPr>
        <w:spacing w:after="120" w:before="240" w:lineRule="auto"/>
        <w:ind w:left="426" w:firstLine="0"/>
        <w:rPr>
          <w:rFonts w:ascii="Aptos" w:cs="Aptos" w:eastAsia="Aptos" w:hAnsi="Aptos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Kryterium 1. Cena - 60% (maksymalnie możliwych do uzyskania 60,00 pkt) </w:t>
      </w:r>
    </w:p>
    <w:p w:rsidR="00000000" w:rsidDel="00000000" w:rsidP="00000000" w:rsidRDefault="00000000" w:rsidRPr="00000000" w14:paraId="000000DA">
      <w:pPr>
        <w:spacing w:after="120" w:lineRule="auto"/>
        <w:ind w:left="426" w:firstLine="0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Sposób przyznawania punktacji za spełnienie kryterium: </w:t>
      </w:r>
    </w:p>
    <w:p w:rsidR="00000000" w:rsidDel="00000000" w:rsidP="00000000" w:rsidRDefault="00000000" w:rsidRPr="00000000" w14:paraId="000000DB">
      <w:pPr>
        <w:spacing w:after="120" w:lineRule="auto"/>
        <w:ind w:left="426" w:firstLine="0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K1 = (C</w:t>
      </w:r>
      <w:r w:rsidDel="00000000" w:rsidR="00000000" w:rsidRPr="00000000">
        <w:rPr>
          <w:rFonts w:ascii="Aptos" w:cs="Aptos" w:eastAsia="Aptos" w:hAnsi="Aptos"/>
          <w:sz w:val="22"/>
          <w:szCs w:val="22"/>
          <w:vertAlign w:val="subscript"/>
          <w:rtl w:val="0"/>
        </w:rPr>
        <w:t xml:space="preserve">min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/ C) x 60</w:t>
      </w:r>
    </w:p>
    <w:p w:rsidR="00000000" w:rsidDel="00000000" w:rsidP="00000000" w:rsidRDefault="00000000" w:rsidRPr="00000000" w14:paraId="000000DC">
      <w:pPr>
        <w:spacing w:after="120" w:lineRule="auto"/>
        <w:ind w:left="426" w:firstLine="0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K1 – liczba punktów uzyskana za kryterium Ceny </w:t>
      </w:r>
    </w:p>
    <w:p w:rsidR="00000000" w:rsidDel="00000000" w:rsidP="00000000" w:rsidRDefault="00000000" w:rsidRPr="00000000" w14:paraId="000000DD">
      <w:pPr>
        <w:spacing w:after="120" w:lineRule="auto"/>
        <w:ind w:left="426" w:firstLine="0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C</w:t>
      </w:r>
      <w:r w:rsidDel="00000000" w:rsidR="00000000" w:rsidRPr="00000000">
        <w:rPr>
          <w:rFonts w:ascii="Aptos" w:cs="Aptos" w:eastAsia="Aptos" w:hAnsi="Aptos"/>
          <w:sz w:val="22"/>
          <w:szCs w:val="22"/>
          <w:vertAlign w:val="subscript"/>
          <w:rtl w:val="0"/>
        </w:rPr>
        <w:t xml:space="preserve">min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– najniższa cena brutto spośród ważnych ofert </w:t>
      </w:r>
    </w:p>
    <w:p w:rsidR="00000000" w:rsidDel="00000000" w:rsidP="00000000" w:rsidRDefault="00000000" w:rsidRPr="00000000" w14:paraId="000000DE">
      <w:pPr>
        <w:spacing w:after="120" w:lineRule="auto"/>
        <w:ind w:left="426" w:firstLine="0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C – cena brutto badanej oferty   </w:t>
      </w:r>
    </w:p>
    <w:p w:rsidR="00000000" w:rsidDel="00000000" w:rsidP="00000000" w:rsidRDefault="00000000" w:rsidRPr="00000000" w14:paraId="000000DF">
      <w:pPr>
        <w:spacing w:after="160" w:lineRule="auto"/>
        <w:ind w:left="426" w:firstLine="0"/>
        <w:rPr>
          <w:rFonts w:ascii="Aptos" w:cs="Aptos" w:eastAsia="Aptos" w:hAnsi="Aptos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Kryterium 2. Klauzule społeczne – 30% (maksymalnie możliwych do uzyskania 30,00 pkt)</w:t>
      </w:r>
    </w:p>
    <w:p w:rsidR="00000000" w:rsidDel="00000000" w:rsidP="00000000" w:rsidRDefault="00000000" w:rsidRPr="00000000" w14:paraId="000000E0">
      <w:pPr>
        <w:spacing w:after="120" w:lineRule="auto"/>
        <w:ind w:left="426" w:firstLine="0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Sposób przyznawania punktacji: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284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Realizacja zamówienia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bez zaangażowania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osób z niepełnosprawnością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w rozumieniu ustawy z dnia 27 sierpnia 1997 r. o rehabilitacji zawodowej i społecznej oraz zatrudnianiu osób niepełnosprawnych (t.j. Dz.U. z 2024 r. poz. 44)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0% (0,00 pkt)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284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Realizacja zamówienia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 zaangażowaniem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osoby z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niepełnosprawnością w rozumieniu ustawy z dnia 27 sierpnia 1997 r. o rehabilitacji zawodowej i społecznej oraz zatrudnianiu osób niepełnosprawnych (t.j. Dz.U. z 2024 r. poz. 44)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30% (30,00 pkt)</w:t>
      </w:r>
    </w:p>
    <w:p w:rsidR="00000000" w:rsidDel="00000000" w:rsidP="00000000" w:rsidRDefault="00000000" w:rsidRPr="00000000" w14:paraId="000000E3">
      <w:pPr>
        <w:spacing w:after="120" w:lineRule="auto"/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Weryfikacja spełnienia kryterium na podstawie Załącznika nr 3 </w:t>
      </w:r>
      <w:r w:rsidDel="00000000" w:rsidR="00000000" w:rsidRPr="00000000">
        <w:rPr>
          <w:rFonts w:ascii="Aptos" w:cs="Aptos" w:eastAsia="Aptos" w:hAnsi="Aptos"/>
          <w:i w:val="1"/>
          <w:iCs w:val="1"/>
          <w:sz w:val="22"/>
          <w:szCs w:val="22"/>
          <w:rtl w:val="0"/>
        </w:rPr>
        <w:t xml:space="preserve">Oświadczenie o spełnianiu aspektów społecznych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 – w przypadku zaangażowania osoby z niepełnosprawnością należy wskazać zakres czynności, jakie będą wykonywane przez tę osobę w ramach realizacji zamówienia.</w:t>
      </w:r>
    </w:p>
    <w:p w:rsidR="00000000" w:rsidDel="00000000" w:rsidP="00000000" w:rsidRDefault="00000000" w:rsidRPr="00000000" w14:paraId="000000E4">
      <w:pPr>
        <w:spacing w:after="120" w:lineRule="auto"/>
        <w:ind w:left="426" w:firstLine="0"/>
        <w:jc w:val="both"/>
        <w:rPr>
          <w:rFonts w:ascii="Aptos" w:cs="Aptos" w:eastAsia="Aptos" w:hAnsi="Aptos"/>
          <w:sz w:val="22"/>
          <w:szCs w:val="22"/>
        </w:rPr>
      </w:pP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 przypadku wyboru Wykonawcy, który zadeklarował zaangażowanie osoby z niepełnosprawnością: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1" w:right="0" w:hanging="357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Wykonawca przed podpisaniem umowy na realizację usługi będzie zobowiązany do przedłożenia kopii dokumentu potwierdzającego niepełnosprawność tej osoby.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851" w:right="0" w:hanging="357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Zamawiający zastrzega sobie możliwość weryfikacji spełnienia kryterium na etapie realizacji zamówienia.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niezaangażowania przy realizacji zamówienia osoby z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niepełnosprawnością pomimo zadeklarowania tego faktu w Ofercie, 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Wykonawca zapłaci karę umowną w wysokości 15% całkowitej ceny brutto zamówienia.</w:t>
      </w:r>
    </w:p>
    <w:p w:rsidR="00000000" w:rsidDel="00000000" w:rsidP="00000000" w:rsidRDefault="00000000" w:rsidRPr="00000000" w14:paraId="000000E8">
      <w:pPr>
        <w:widowControl w:val="0"/>
        <w:spacing w:after="120" w:lineRule="auto"/>
        <w:ind w:left="426" w:firstLine="0"/>
        <w:rPr>
          <w:rFonts w:ascii="Aptos" w:cs="Aptos" w:eastAsia="Aptos" w:hAnsi="Aptos"/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2"/>
          <w:szCs w:val="22"/>
          <w:u w:val="single"/>
          <w:rtl w:val="0"/>
        </w:rPr>
        <w:t xml:space="preserve">Kryterium 3. Czas reakcji – 10% (maksymalnie możliwych do uzyskania 10,00 pkt)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Czas reakcji, to liczona w dniach kalendarzowych, gotowość Wykonawcy do przystąpienia do realizacji usługi, od dnia przekazania przez Zamawiającego Wykonawcy wezwania do zrealizowania usługi dla danego UP/ dla danej grupy, a dniem jej faktycznego rozpoczęcia przez Wykonawcę.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Sposób przyznawania punktacji:</w:t>
      </w:r>
    </w:p>
    <w:tbl>
      <w:tblPr>
        <w:tblStyle w:val="Table2"/>
        <w:tblW w:w="4956.0" w:type="dxa"/>
        <w:jc w:val="left"/>
        <w:tblInd w:w="42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78"/>
        <w:gridCol w:w="2478"/>
        <w:tblGridChange w:id="0">
          <w:tblGrid>
            <w:gridCol w:w="2478"/>
            <w:gridCol w:w="2478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Liczba dni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Liczba punktów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 i więcej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 pkt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 pkt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ptos" w:cs="Aptos" w:eastAsia="Aptos" w:hAnsi="Apto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 pkt</w:t>
            </w:r>
          </w:p>
        </w:tc>
      </w:tr>
    </w:tbl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426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425" w:right="0" w:firstLine="0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Łącznie możliwych do uzyskania 100,00 pkt (100%).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Ostateczna liczba punktów (O) będzie obliczana wg następującego wzoru: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 = K1 + K2 + K3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Punkty liczone będą z dokładnością do dwóch miejsc po przecinku.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5" w:right="0" w:firstLine="0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Oferta, która uzyska najwyższą̨ liczbę̨ punktów przyznanych wg powyższych kryteriów, zostanie uznana przez Zamawiającego za najkorzystniejszą.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426" w:right="0" w:hanging="426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INFORMACJE UZUPEŁNIAJĄCE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mbbkykco2kps" w:id="4"/>
      <w:bookmarkEnd w:id="4"/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Oferta Wykonawcy musi spełniać wszystkie wymogi stawiane w zapytaniu ofertowym i być złożona na wzorach załączników dołączonych do niniejszego zapytania.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Decyzja Zamawiającego o odrzuceniu oferty jest decyzją ostateczną.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przypadku, gdy wybrany Wykonawca odstąpi od podpisania umowy z Zamawiającym, możliwe jest podpisanie przez Zamawiającego umowy z kolejnym Wykonawcą, który w postępowaniu uzyskał kolejną najwyższą liczbę punktów.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jest uprawniony do poprawienia w tekście oferty oczywistych omyłek pisarskich, niezwłocznie zawiadamiając o tym danego Wykonawcę.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 przypadku uzyskania przez dwóch lub więcej Wykonawców takiej samej liczby punktów decyduje niższa cena.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zastrzega możliwość weryfikacji złożonych oświadczeń i danych w tych oświadczeniach na każdym etapie oceny oferty i realizacji zamówienia.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Pośredniczącej z przeznaczeniem na pokrycie zobowiązania wynikającego z niniejszej umowy.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426" w:right="0" w:hanging="426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Zamawiający dopuszcza możliwość zmiany postanowień zawartej umowy, na podstawie aneksu do umowy, w zakresie/przypadkach: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Terminu realizacji usługi – w szczególności w wyniku wystąpienia trudności z rekrutacją założonej liczby UP do projektu,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Miejsca realizacji usługi – w szczególności w wyniku wprowadzonych zmian do umowy o dofinansowanie/wniosku o dofinansowanie realizowanego projektu, przy czym zmiana miejsca realizacji może ograniczać się jedynie do obszaru </w:t>
      </w:r>
      <w:r w:rsidDel="00000000" w:rsidR="00000000" w:rsidRPr="00000000">
        <w:rPr>
          <w:rFonts w:ascii="Aptos" w:cs="Aptos" w:eastAsia="Aptos" w:hAnsi="Aptos"/>
          <w:sz w:val="22"/>
          <w:szCs w:val="22"/>
          <w:rtl w:val="0"/>
        </w:rPr>
        <w:t xml:space="preserve">wskazanych województw</w:t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Zmniejszenia wymiaru zamówienia – 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przewidzieć.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Zwiększenia wymiaru zamówienia – w szczególności w wyniku wprowadzonych zmian do umowy o dofinansowanie/ wniosku o dofinansowanie realizowanego projektu oraz w wyniku skierowania na daną formę wsparcia większej liczby UP.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Sposobu wykonania przedmiotu zamówienia – w sytuacji wprowadzenia zmian do umowy o dofinansowanie/ wniosku o dofinansowanie realizowanego projektu.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Wysokości łącznego wynagrodzenia Wykonawcy spowodowanego wprowadzeniem zmian, o których mowa w pkt c) i d), przy zachowaniu niezmienionych stawek jednostkowych.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Wystąpienia siły wyższej.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Zmiany wartości umowy w przypadku zwiększenia bądź zmniejszenia stawek podatku od towarów i usług, dotyczących Przedmiotu Zamówienia w wyniku zmian ustawy z dnia 11 marca 2004 r. o podatku od towarów i usług (Dz. U. z 2004 r., Nr 54, poz. 535, t.j. Dz.U. z 2023 r. poz. 1570), które wejdą w życie po dniu zawarcia umowy, a przed wykonaniem przedmiotu zamówienia.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2.99999999999955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Oczywistych omyłek pisarskich i rachunkowych w treści umowy.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426" w:right="0" w:hanging="426"/>
        <w:jc w:val="both"/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ZAŁĄCZNIKI</w:t>
      </w:r>
      <w:r w:rsidDel="00000000" w:rsidR="00000000" w:rsidRPr="00000000">
        <w:rPr>
          <w:rFonts w:ascii="Aptos" w:cs="Aptos" w:eastAsia="Aptos" w:hAnsi="Apto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3.0000000000001"/>
        <w:jc w:val="both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1 Formularz oferty.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4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2 Oświadczenie w zakresie objęcia sankcjami.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4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3 Oświadczenie o spełnianiu aspektów społecznych.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numPr>
          <w:ilvl w:val="2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09" w:right="0" w:hanging="284"/>
        <w:jc w:val="both"/>
        <w:rPr>
          <w:rFonts w:ascii="Aptos" w:cs="Aptos" w:eastAsia="Aptos" w:hAnsi="Aptos"/>
          <w:b w:val="0"/>
          <w:bCs w:val="0"/>
          <w:i w:val="1"/>
          <w:iCs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Załącznik nr 4 Klauzula informacyjna dot. przetwarzania danych osobowych.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7" w:w="11905" w:orient="portrait"/>
      <w:pgMar w:bottom="1134" w:top="1701" w:left="1134" w:right="1134" w:header="0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ourier New"/>
  <w:font w:name="Calibri"/>
  <w:font w:name="Aptos"/>
  <w:font w:name="Bookman Old Style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Strona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z </w:t>
    </w: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ahoma" w:cs="Tahoma" w:eastAsia="Tahoma" w:hAnsi="Tahoma"/>
        <w:b w:val="1"/>
        <w:bCs w:val="1"/>
      </w:rPr>
      <w:drawing>
        <wp:inline distB="114300" distT="114300" distL="114300" distR="114300">
          <wp:extent cx="6119820" cy="838200"/>
          <wp:effectExtent b="0" l="0" r="0" t="0"/>
          <wp:docPr id="77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19820" cy="8382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both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ahoma" w:cs="Tahoma" w:eastAsia="Tahoma" w:hAnsi="Tahoma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31750</wp:posOffset>
          </wp:positionV>
          <wp:extent cx="6512560" cy="10160"/>
          <wp:effectExtent b="0" l="0" r="0" t="0"/>
          <wp:wrapNone/>
          <wp:docPr id="78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12560" cy="101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644" w:hanging="359.99999999999994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upperRoman"/>
      <w:lvlText w:val="%1."/>
      <w:lvlJc w:val="right"/>
      <w:pPr>
        <w:ind w:left="567" w:hanging="283"/>
      </w:pPr>
      <w:rPr>
        <w:b w:val="1"/>
        <w:bCs w:val="1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2835" w:hanging="283"/>
      </w:pPr>
      <w:rPr>
        <w:b w:val="0"/>
        <w:bCs w:val="0"/>
        <w:i w:val="0"/>
        <w:iCs w:val="0"/>
      </w:rPr>
    </w:lvl>
    <w:lvl w:ilvl="3">
      <w:start w:val="1"/>
      <w:numFmt w:val="bullet"/>
      <w:lvlText w:val="●"/>
      <w:lvlJc w:val="left"/>
      <w:pPr>
        <w:ind w:left="2552" w:hanging="284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−"/>
      <w:lvlJc w:val="left"/>
      <w:pPr>
        <w:ind w:left="9149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)"/>
      <w:lvlJc w:val="left"/>
      <w:pPr>
        <w:ind w:left="5060" w:hanging="38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262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1287" w:hanging="360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211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927" w:hanging="360"/>
      </w:pPr>
      <w:rPr/>
    </w:lvl>
    <w:lvl w:ilvl="2">
      <w:start w:val="1"/>
      <w:numFmt w:val="lowerLetter"/>
      <w:lvlText w:val="%3."/>
      <w:lvlJc w:val="left"/>
      <w:pPr>
        <w:ind w:left="1647" w:hanging="360"/>
      </w:pPr>
      <w:rPr/>
    </w:lvl>
    <w:lvl w:ilvl="3">
      <w:start w:val="1"/>
      <w:numFmt w:val="lowerLetter"/>
      <w:lvlText w:val="%4."/>
      <w:lvlJc w:val="left"/>
      <w:pPr>
        <w:ind w:left="2367" w:hanging="360"/>
      </w:pPr>
      <w:rPr/>
    </w:lvl>
    <w:lvl w:ilvl="4">
      <w:start w:val="1"/>
      <w:numFmt w:val="lowerLetter"/>
      <w:lvlText w:val="%5."/>
      <w:lvlJc w:val="left"/>
      <w:pPr>
        <w:ind w:left="3087" w:hanging="360"/>
      </w:pPr>
      <w:rPr/>
    </w:lvl>
    <w:lvl w:ilvl="5">
      <w:start w:val="1"/>
      <w:numFmt w:val="lowerLetter"/>
      <w:lvlText w:val="%6."/>
      <w:lvlJc w:val="left"/>
      <w:pPr>
        <w:ind w:left="3807" w:hanging="360"/>
      </w:pPr>
      <w:rPr/>
    </w:lvl>
    <w:lvl w:ilvl="6">
      <w:start w:val="1"/>
      <w:numFmt w:val="lowerLetter"/>
      <w:lvlText w:val="%7."/>
      <w:lvlJc w:val="left"/>
      <w:pPr>
        <w:ind w:left="4527" w:hanging="360"/>
      </w:pPr>
      <w:rPr/>
    </w:lvl>
    <w:lvl w:ilvl="7">
      <w:start w:val="1"/>
      <w:numFmt w:val="lowerLetter"/>
      <w:lvlText w:val="%8."/>
      <w:lvlJc w:val="left"/>
      <w:pPr>
        <w:ind w:left="5247" w:hanging="360"/>
      </w:pPr>
      <w:rPr/>
    </w:lvl>
    <w:lvl w:ilvl="8">
      <w:start w:val="1"/>
      <w:numFmt w:val="lowerLetter"/>
      <w:lvlText w:val="%9."/>
      <w:lvlJc w:val="left"/>
      <w:pPr>
        <w:ind w:left="5967" w:hanging="360"/>
      </w:pPr>
      <w:rPr/>
    </w:lvl>
  </w:abstractNum>
  <w:abstractNum w:abstractNumId="8">
    <w:lvl w:ilvl="0">
      <w:start w:val="1"/>
      <w:numFmt w:val="bullet"/>
      <w:lvlText w:val="●"/>
      <w:lvlJc w:val="left"/>
      <w:pPr>
        <w:ind w:left="262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left"/>
      <w:pPr>
        <w:ind w:left="2160" w:hanging="360"/>
      </w:pPr>
      <w:rPr/>
    </w:lvl>
    <w:lvl w:ilvl="3">
      <w:start w:val="1"/>
      <w:numFmt w:val="lowerLetter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Letter"/>
      <w:lvlText w:val="%6."/>
      <w:lvlJc w:val="left"/>
      <w:pPr>
        <w:ind w:left="4320" w:hanging="360"/>
      </w:pPr>
      <w:rPr/>
    </w:lvl>
    <w:lvl w:ilvl="6">
      <w:start w:val="1"/>
      <w:numFmt w:val="lowerLetter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Letter"/>
      <w:lvlText w:val="%9."/>
      <w:lvlJc w:val="left"/>
      <w:pPr>
        <w:ind w:left="6480" w:hanging="360"/>
      </w:pPr>
      <w:rPr/>
    </w:lvl>
  </w:abstractNum>
  <w:abstractNum w:abstractNumId="9">
    <w:lvl w:ilvl="0">
      <w:start w:val="1"/>
      <w:numFmt w:val="lowerLetter"/>
      <w:lvlText w:val="%1)"/>
      <w:lvlJc w:val="left"/>
      <w:pPr>
        <w:ind w:left="5812" w:hanging="282.9999999999991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upperRoman"/>
      <w:lvlText w:val="%1."/>
      <w:lvlJc w:val="right"/>
      <w:pPr>
        <w:ind w:left="567" w:hanging="283"/>
      </w:pPr>
      <w:rPr>
        <w:b w:val="1"/>
        <w:bCs w:val="1"/>
      </w:rPr>
    </w:lvl>
    <w:lvl w:ilvl="1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ind w:left="2835" w:hanging="283"/>
      </w:pPr>
      <w:rPr>
        <w:b w:val="0"/>
        <w:bCs w:val="0"/>
        <w:i w:val="0"/>
        <w:iCs w:val="0"/>
      </w:rPr>
    </w:lvl>
    <w:lvl w:ilvl="3">
      <w:start w:val="1"/>
      <w:numFmt w:val="bullet"/>
      <w:lvlText w:val="●"/>
      <w:lvlJc w:val="left"/>
      <w:pPr>
        <w:ind w:left="2552" w:hanging="284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−"/>
      <w:lvlJc w:val="left"/>
      <w:pPr>
        <w:ind w:left="9149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)"/>
      <w:lvlJc w:val="left"/>
      <w:pPr>
        <w:ind w:left="5060" w:hanging="38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2">
    <w:lvl w:ilvl="0">
      <w:start w:val="1"/>
      <w:numFmt w:val="lowerLetter"/>
      <w:lvlText w:val="%1)"/>
      <w:lvlJc w:val="left"/>
      <w:pPr>
        <w:ind w:left="1287" w:hanging="360.0000000000001"/>
      </w:pPr>
      <w:rPr/>
    </w:lvl>
    <w:lvl w:ilvl="1">
      <w:start w:val="1"/>
      <w:numFmt w:val="lowerLetter"/>
      <w:lvlText w:val="%2."/>
      <w:lvlJc w:val="left"/>
      <w:pPr>
        <w:ind w:left="2007" w:hanging="360"/>
      </w:pPr>
      <w:rPr/>
    </w:lvl>
    <w:lvl w:ilvl="2">
      <w:start w:val="1"/>
      <w:numFmt w:val="lowerRoman"/>
      <w:lvlText w:val="%3."/>
      <w:lvlJc w:val="right"/>
      <w:pPr>
        <w:ind w:left="2727" w:hanging="180"/>
      </w:pPr>
      <w:rPr/>
    </w:lvl>
    <w:lvl w:ilvl="3">
      <w:start w:val="1"/>
      <w:numFmt w:val="decimal"/>
      <w:lvlText w:val="%4."/>
      <w:lvlJc w:val="left"/>
      <w:pPr>
        <w:ind w:left="3447" w:hanging="360"/>
      </w:pPr>
      <w:rPr/>
    </w:lvl>
    <w:lvl w:ilvl="4">
      <w:start w:val="1"/>
      <w:numFmt w:val="lowerLetter"/>
      <w:lvlText w:val="%5."/>
      <w:lvlJc w:val="left"/>
      <w:pPr>
        <w:ind w:left="4167" w:hanging="360"/>
      </w:pPr>
      <w:rPr/>
    </w:lvl>
    <w:lvl w:ilvl="5">
      <w:start w:val="1"/>
      <w:numFmt w:val="lowerRoman"/>
      <w:lvlText w:val="%6."/>
      <w:lvlJc w:val="right"/>
      <w:pPr>
        <w:ind w:left="4887" w:hanging="180"/>
      </w:pPr>
      <w:rPr/>
    </w:lvl>
    <w:lvl w:ilvl="6">
      <w:start w:val="1"/>
      <w:numFmt w:val="decimal"/>
      <w:lvlText w:val="%7."/>
      <w:lvlJc w:val="left"/>
      <w:pPr>
        <w:ind w:left="5607" w:hanging="360"/>
      </w:pPr>
      <w:rPr/>
    </w:lvl>
    <w:lvl w:ilvl="7">
      <w:start w:val="1"/>
      <w:numFmt w:val="lowerLetter"/>
      <w:lvlText w:val="%8."/>
      <w:lvlJc w:val="left"/>
      <w:pPr>
        <w:ind w:left="6327" w:hanging="360"/>
      </w:pPr>
      <w:rPr/>
    </w:lvl>
    <w:lvl w:ilvl="8">
      <w:start w:val="1"/>
      <w:numFmt w:val="lowerRoman"/>
      <w:lvlText w:val="%9."/>
      <w:lvlJc w:val="right"/>
      <w:pPr>
        <w:ind w:left="7047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3410" w:hanging="705"/>
      </w:pPr>
      <w:rPr>
        <w:b w:val="0"/>
        <w:bCs w:val="0"/>
        <w:i w:val="0"/>
        <w:iCs w:val="0"/>
      </w:rPr>
    </w:lvl>
    <w:lvl w:ilvl="2">
      <w:start w:val="1"/>
      <w:numFmt w:val="bullet"/>
      <w:lvlText w:val="−"/>
      <w:lvlJc w:val="left"/>
      <w:pPr>
        <w:ind w:left="396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−"/>
      <w:lvlJc w:val="left"/>
      <w:pPr>
        <w:ind w:left="450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lowerLetter"/>
      <w:lvlText w:val="%5."/>
      <w:lvlJc w:val="left"/>
      <w:pPr>
        <w:ind w:left="5225" w:hanging="360"/>
      </w:pPr>
      <w:rPr/>
    </w:lvl>
    <w:lvl w:ilvl="5">
      <w:start w:val="1"/>
      <w:numFmt w:val="lowerRoman"/>
      <w:lvlText w:val="%6."/>
      <w:lvlJc w:val="right"/>
      <w:pPr>
        <w:ind w:left="5945" w:hanging="180"/>
      </w:pPr>
      <w:rPr/>
    </w:lvl>
    <w:lvl w:ilvl="6">
      <w:start w:val="1"/>
      <w:numFmt w:val="decimal"/>
      <w:lvlText w:val="%7."/>
      <w:lvlJc w:val="left"/>
      <w:pPr>
        <w:ind w:left="6665" w:hanging="360"/>
      </w:pPr>
      <w:rPr/>
    </w:lvl>
    <w:lvl w:ilvl="7">
      <w:start w:val="1"/>
      <w:numFmt w:val="lowerLetter"/>
      <w:lvlText w:val="%8."/>
      <w:lvlJc w:val="left"/>
      <w:pPr>
        <w:ind w:left="7385" w:hanging="360"/>
      </w:pPr>
      <w:rPr/>
    </w:lvl>
    <w:lvl w:ilvl="8">
      <w:start w:val="1"/>
      <w:numFmt w:val="lowerRoman"/>
      <w:lvlText w:val="%9."/>
      <w:lvlJc w:val="right"/>
      <w:pPr>
        <w:ind w:left="8105" w:hanging="180"/>
      </w:pPr>
      <w:rPr/>
    </w:lvl>
  </w:abstractNum>
  <w:abstractNum w:abstractNumId="14">
    <w:lvl w:ilvl="0">
      <w:start w:val="1"/>
      <w:numFmt w:val="bullet"/>
      <w:lvlText w:val="●"/>
      <w:lvlJc w:val="left"/>
      <w:pPr>
        <w:ind w:left="1287" w:hanging="360.0000000000001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  <w:b w:val="0"/>
        <w:bCs w:val="0"/>
      </w:rPr>
    </w:lvl>
    <w:lvl w:ilvl="2">
      <w:start w:val="1"/>
      <w:numFmt w:val="lowerLetter"/>
      <w:lvlText w:val="%3)"/>
      <w:lvlJc w:val="left"/>
      <w:pPr>
        <w:ind w:left="2880" w:hanging="180"/>
      </w:pPr>
      <w:rPr>
        <w:b w:val="0"/>
        <w:bCs w:val="0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ind w:left="2345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3410" w:hanging="705"/>
      </w:pPr>
      <w:rPr>
        <w:rFonts w:ascii="Calibri" w:cs="Calibri" w:eastAsia="Calibri" w:hAnsi="Calibri"/>
        <w:b w:val="0"/>
        <w:bCs w:val="0"/>
        <w:i w:val="0"/>
        <w:iCs w:val="0"/>
      </w:rPr>
    </w:lvl>
    <w:lvl w:ilvl="2">
      <w:start w:val="1"/>
      <w:numFmt w:val="bullet"/>
      <w:lvlText w:val="●"/>
      <w:lvlJc w:val="left"/>
      <w:pPr>
        <w:ind w:left="3785" w:hanging="18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−"/>
      <w:lvlJc w:val="left"/>
      <w:pPr>
        <w:ind w:left="450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lowerLetter"/>
      <w:lvlText w:val="%5."/>
      <w:lvlJc w:val="left"/>
      <w:pPr>
        <w:ind w:left="5225" w:hanging="360"/>
      </w:pPr>
      <w:rPr/>
    </w:lvl>
    <w:lvl w:ilvl="5">
      <w:start w:val="1"/>
      <w:numFmt w:val="lowerRoman"/>
      <w:lvlText w:val="%6."/>
      <w:lvlJc w:val="right"/>
      <w:pPr>
        <w:ind w:left="5945" w:hanging="180"/>
      </w:pPr>
      <w:rPr/>
    </w:lvl>
    <w:lvl w:ilvl="6">
      <w:start w:val="1"/>
      <w:numFmt w:val="decimal"/>
      <w:lvlText w:val="%7."/>
      <w:lvlJc w:val="left"/>
      <w:pPr>
        <w:ind w:left="6665" w:hanging="360"/>
      </w:pPr>
      <w:rPr/>
    </w:lvl>
    <w:lvl w:ilvl="7">
      <w:start w:val="1"/>
      <w:numFmt w:val="lowerLetter"/>
      <w:lvlText w:val="%8."/>
      <w:lvlJc w:val="left"/>
      <w:pPr>
        <w:ind w:left="7385" w:hanging="360"/>
      </w:pPr>
      <w:rPr/>
    </w:lvl>
    <w:lvl w:ilvl="8">
      <w:start w:val="1"/>
      <w:numFmt w:val="lowerRoman"/>
      <w:lvlText w:val="%9."/>
      <w:lvlJc w:val="right"/>
      <w:pPr>
        <w:ind w:left="8105" w:hanging="180"/>
      </w:pPr>
      <w:rPr/>
    </w:lvl>
  </w:abstractNum>
  <w:abstractNum w:abstractNumId="17">
    <w:lvl w:ilvl="0">
      <w:start w:val="1"/>
      <w:numFmt w:val="lowerLetter"/>
      <w:lvlText w:val="%1)"/>
      <w:lvlJc w:val="left"/>
      <w:pPr>
        <w:ind w:left="1428" w:hanging="360"/>
      </w:pPr>
      <w:rPr/>
    </w:lvl>
    <w:lvl w:ilvl="1">
      <w:start w:val="1"/>
      <w:numFmt w:val="lowerLetter"/>
      <w:lvlText w:val="%2."/>
      <w:lvlJc w:val="left"/>
      <w:pPr>
        <w:ind w:left="2148" w:hanging="360"/>
      </w:pPr>
      <w:rPr/>
    </w:lvl>
    <w:lvl w:ilvl="2">
      <w:start w:val="1"/>
      <w:numFmt w:val="lowerRoman"/>
      <w:lvlText w:val="%3."/>
      <w:lvlJc w:val="right"/>
      <w:pPr>
        <w:ind w:left="2868" w:hanging="180"/>
      </w:pPr>
      <w:rPr/>
    </w:lvl>
    <w:lvl w:ilvl="3">
      <w:start w:val="1"/>
      <w:numFmt w:val="decimal"/>
      <w:lvlText w:val="%4."/>
      <w:lvlJc w:val="left"/>
      <w:pPr>
        <w:ind w:left="3588" w:hanging="360"/>
      </w:pPr>
      <w:rPr/>
    </w:lvl>
    <w:lvl w:ilvl="4">
      <w:start w:val="1"/>
      <w:numFmt w:val="lowerLetter"/>
      <w:lvlText w:val="%5."/>
      <w:lvlJc w:val="left"/>
      <w:pPr>
        <w:ind w:left="4308" w:hanging="360"/>
      </w:pPr>
      <w:rPr/>
    </w:lvl>
    <w:lvl w:ilvl="5">
      <w:start w:val="1"/>
      <w:numFmt w:val="lowerRoman"/>
      <w:lvlText w:val="%6."/>
      <w:lvlJc w:val="right"/>
      <w:pPr>
        <w:ind w:left="5028" w:hanging="180"/>
      </w:pPr>
      <w:rPr/>
    </w:lvl>
    <w:lvl w:ilvl="6">
      <w:start w:val="1"/>
      <w:numFmt w:val="decimal"/>
      <w:lvlText w:val="%7."/>
      <w:lvlJc w:val="left"/>
      <w:pPr>
        <w:ind w:left="5748" w:hanging="360"/>
      </w:pPr>
      <w:rPr/>
    </w:lvl>
    <w:lvl w:ilvl="7">
      <w:start w:val="1"/>
      <w:numFmt w:val="lowerLetter"/>
      <w:lvlText w:val="%8."/>
      <w:lvlJc w:val="left"/>
      <w:pPr>
        <w:ind w:left="6468" w:hanging="360"/>
      </w:pPr>
      <w:rPr/>
    </w:lvl>
    <w:lvl w:ilvl="8">
      <w:start w:val="1"/>
      <w:numFmt w:val="lowerRoman"/>
      <w:lvlText w:val="%9."/>
      <w:lvlJc w:val="right"/>
      <w:pPr>
        <w:ind w:left="7188" w:hanging="180"/>
      </w:pPr>
      <w:rPr/>
    </w:lvl>
  </w:abstractNum>
  <w:abstractNum w:abstractNumId="18"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</w:rPr>
  </w:style>
  <w:style w:type="paragraph" w:styleId="Heading2">
    <w:name w:val="heading 2"/>
    <w:basedOn w:val="Normal"/>
    <w:next w:val="Normal"/>
    <w:pPr>
      <w:keepNext w:val="1"/>
      <w:spacing w:line="360" w:lineRule="auto"/>
      <w:jc w:val="center"/>
    </w:pPr>
    <w:rPr>
      <w:rFonts w:ascii="Tahoma" w:cs="Tahoma" w:eastAsia="Tahoma" w:hAnsi="Tahoma"/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</w:pPr>
    <w:rPr>
      <w:rFonts w:ascii="Aptos" w:cs="Aptos" w:eastAsia="Aptos" w:hAnsi="Aptos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Bookman Old Style" w:cs="Bookman Old Style" w:eastAsia="Bookman Old Style" w:hAnsi="Bookman Old Style"/>
      <w:color w:val="000000"/>
      <w:sz w:val="28"/>
      <w:szCs w:val="28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Domylnaczcionkaakapitu2" w:customStyle="1">
    <w:name w:val="Domyślna czcionka akapitu2"/>
  </w:style>
  <w:style w:type="character" w:styleId="WW-Absatz-Standardschriftart1" w:customStyle="1">
    <w:name w:val="WW-Absatz-Standardschriftart1"/>
  </w:style>
  <w:style w:type="character" w:styleId="WW8Num7z0" w:customStyle="1">
    <w:name w:val="WW8Num7z0"/>
    <w:rPr>
      <w:rFonts w:ascii="Wingdings" w:hAnsi="Wingdings"/>
      <w:sz w:val="16"/>
    </w:rPr>
  </w:style>
  <w:style w:type="character" w:styleId="WW8Num8z0" w:customStyle="1">
    <w:name w:val="WW8Num8z0"/>
    <w:rPr>
      <w:rFonts w:ascii="Wingdings" w:hAnsi="Wingdings"/>
      <w:sz w:val="16"/>
    </w:rPr>
  </w:style>
  <w:style w:type="character" w:styleId="WW8Num17z0" w:customStyle="1">
    <w:name w:val="WW8Num17z0"/>
    <w:rPr>
      <w:rFonts w:ascii="Wingdings" w:hAnsi="Wingdings"/>
      <w:sz w:val="16"/>
    </w:rPr>
  </w:style>
  <w:style w:type="character" w:styleId="Domylnaczcionkaakapitu1" w:customStyle="1">
    <w:name w:val="Domyślna czcionka akapitu1"/>
  </w:style>
  <w:style w:type="character" w:styleId="Znakiprzypiswdolnych" w:customStyle="1">
    <w:name w:val="Znaki przypisów dolnych"/>
    <w:rPr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Odwoanieprzypisudolnego1" w:customStyle="1">
    <w:name w:val="Odwołanie przypisu dolnego1"/>
    <w:rPr>
      <w:vertAlign w:val="superscript"/>
    </w:rPr>
  </w:style>
  <w:style w:type="character" w:styleId="Znakiprzypiswkocowych" w:customStyle="1">
    <w:name w:val="Znaki przypisów końcowych"/>
    <w:rPr>
      <w:vertAlign w:val="superscript"/>
    </w:rPr>
  </w:style>
  <w:style w:type="character" w:styleId="WW-Znakiprzypiswkocowych" w:customStyle="1">
    <w:name w:val="WW-Znaki przypisów końcowych"/>
  </w:style>
  <w:style w:type="character" w:styleId="Odwoanieprzypisukocowego1" w:customStyle="1">
    <w:name w:val="Odwołanie przypisu końcowego1"/>
    <w:rPr>
      <w:vertAlign w:val="superscript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qFormat w:val="1"/>
    <w:rPr>
      <w:vertAlign w:val="superscript"/>
    </w:rPr>
  </w:style>
  <w:style w:type="character" w:styleId="Odwoanieprzypisukocowego">
    <w:name w:val="endnote reference"/>
    <w:semiHidden w:val="1"/>
    <w:rPr>
      <w:vertAlign w:val="superscript"/>
    </w:rPr>
  </w:style>
  <w:style w:type="paragraph" w:styleId="Nagwek20" w:customStyle="1">
    <w:name w:val="Nagłówek2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rFonts w:ascii="Bookman Old Style" w:hAnsi="Bookman Old Style"/>
    </w:rPr>
  </w:style>
  <w:style w:type="paragraph" w:styleId="Lista">
    <w:name w:val="List"/>
    <w:basedOn w:val="Tekstpodstawowy"/>
    <w:rPr>
      <w:rFonts w:cs="Tahoma"/>
    </w:rPr>
  </w:style>
  <w:style w:type="paragraph" w:styleId="Podpis2" w:customStyle="1">
    <w:name w:val="Podpis2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Indeks" w:customStyle="1">
    <w:name w:val="Indeks"/>
    <w:basedOn w:val="Normalny"/>
    <w:pPr>
      <w:suppressLineNumbers w:val="1"/>
    </w:pPr>
    <w:rPr>
      <w:rFonts w:cs="Tahoma"/>
    </w:rPr>
  </w:style>
  <w:style w:type="paragraph" w:styleId="Nagwek10" w:customStyle="1">
    <w:name w:val="Nagłówek1"/>
    <w:basedOn w:val="Normalny"/>
    <w:next w:val="Tekstpodstawowy"/>
    <w:pPr>
      <w:keepNext w:val="1"/>
      <w:spacing w:after="120" w:before="240"/>
    </w:pPr>
    <w:rPr>
      <w:rFonts w:ascii="Arial" w:cs="Tahoma" w:eastAsia="Lucida Sans Unicode" w:hAnsi="Arial"/>
      <w:sz w:val="28"/>
      <w:szCs w:val="28"/>
    </w:rPr>
  </w:style>
  <w:style w:type="paragraph" w:styleId="Podpis1" w:customStyle="1">
    <w:name w:val="Podpis1"/>
    <w:basedOn w:val="Normalny"/>
    <w:pPr>
      <w:suppressLineNumbers w:val="1"/>
      <w:spacing w:after="120" w:before="120"/>
    </w:pPr>
    <w:rPr>
      <w:rFonts w:cs="Tahoma"/>
      <w:i w:val="1"/>
      <w:iCs w:val="1"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Tekstpodstawowy21" w:customStyle="1">
    <w:name w:val="Tekst podstawowy 21"/>
    <w:basedOn w:val="Normalny"/>
    <w:pPr>
      <w:spacing w:line="360" w:lineRule="auto"/>
    </w:pPr>
    <w:rPr>
      <w:rFonts w:ascii="Tahoma" w:hAnsi="Tahoma"/>
      <w:sz w:val="22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rPr>
      <w:lang w:val="x-none"/>
    </w:rPr>
  </w:style>
  <w:style w:type="paragraph" w:styleId="Tekstpodstawowy31" w:customStyle="1">
    <w:name w:val="Tekst podstawowy 31"/>
    <w:basedOn w:val="Normalny"/>
    <w:rPr>
      <w:rFonts w:ascii="Tahoma" w:hAnsi="Tahoma"/>
      <w:sz w:val="18"/>
    </w:rPr>
  </w:style>
  <w:style w:type="paragraph" w:styleId="Tekstdymka">
    <w:name w:val="Balloon Text"/>
    <w:basedOn w:val="Normalny"/>
    <w:rPr>
      <w:rFonts w:ascii="Tahoma" w:cs="Tahoma" w:hAnsi="Tahoma"/>
      <w:sz w:val="16"/>
      <w:szCs w:val="16"/>
    </w:rPr>
  </w:style>
  <w:style w:type="paragraph" w:styleId="Tekstpodstawowywcity21" w:customStyle="1">
    <w:name w:val="Tekst podstawowy wcięty 21"/>
    <w:basedOn w:val="Normalny"/>
    <w:pPr>
      <w:spacing w:after="120" w:line="480" w:lineRule="auto"/>
      <w:ind w:left="283"/>
    </w:pPr>
  </w:style>
  <w:style w:type="paragraph" w:styleId="Zawartotabeli" w:customStyle="1">
    <w:name w:val="Zawartość tabeli"/>
    <w:basedOn w:val="Normalny"/>
    <w:pPr>
      <w:suppressLineNumbers w:val="1"/>
    </w:pPr>
  </w:style>
  <w:style w:type="paragraph" w:styleId="Nagwektabeli" w:customStyle="1">
    <w:name w:val="Nagłówek tabeli"/>
    <w:basedOn w:val="Zawartotabeli"/>
    <w:pPr>
      <w:jc w:val="center"/>
    </w:pPr>
    <w:rPr>
      <w:b w:val="1"/>
      <w:bCs w:val="1"/>
    </w:rPr>
  </w:style>
  <w:style w:type="paragraph" w:styleId="Tekstpodstawowywcity">
    <w:name w:val="Body Text Indent"/>
    <w:basedOn w:val="Normalny"/>
    <w:rsid w:val="000E0784"/>
    <w:pPr>
      <w:spacing w:after="120"/>
      <w:ind w:left="283"/>
    </w:pPr>
  </w:style>
  <w:style w:type="paragraph" w:styleId="Tekstpodstawowyzwciciem2">
    <w:name w:val="Body Text First Indent 2"/>
    <w:basedOn w:val="Tekstpodstawowywcity"/>
    <w:rsid w:val="000E0784"/>
    <w:pPr>
      <w:ind w:firstLine="210"/>
    </w:pPr>
  </w:style>
  <w:style w:type="character" w:styleId="Uwydatnienie">
    <w:name w:val="Emphasis"/>
    <w:qFormat w:val="1"/>
    <w:rsid w:val="000E0784"/>
    <w:rPr>
      <w:i w:val="1"/>
      <w:iCs w:val="1"/>
    </w:rPr>
  </w:style>
  <w:style w:type="paragraph" w:styleId="NormalnyWeb">
    <w:name w:val="Normal (Web)"/>
    <w:basedOn w:val="Normalny"/>
    <w:rsid w:val="00E7194D"/>
    <w:pPr>
      <w:spacing w:after="100" w:before="100"/>
    </w:pPr>
    <w:rPr>
      <w:sz w:val="24"/>
      <w:szCs w:val="24"/>
    </w:rPr>
  </w:style>
  <w:style w:type="paragraph" w:styleId="ElwiraNagwek2" w:customStyle="1">
    <w:name w:val="Elwira Nagłówek 2"/>
    <w:basedOn w:val="Normalny"/>
    <w:rsid w:val="00502762"/>
    <w:pPr>
      <w:jc w:val="center"/>
    </w:pPr>
    <w:rPr>
      <w:rFonts w:ascii="Garamond" w:hAnsi="Garamond"/>
      <w:b w:val="1"/>
      <w:sz w:val="22"/>
      <w:szCs w:val="22"/>
    </w:rPr>
  </w:style>
  <w:style w:type="character" w:styleId="ElwiraTekstZnak" w:customStyle="1">
    <w:name w:val="Elwira Tekst Znak"/>
    <w:link w:val="ElwiraTekst"/>
    <w:locked w:val="1"/>
    <w:rsid w:val="00502762"/>
    <w:rPr>
      <w:rFonts w:ascii="Garamond" w:hAnsi="Garamond"/>
      <w:sz w:val="22"/>
      <w:szCs w:val="22"/>
      <w:lang w:bidi="ar-SA" w:eastAsia="ar-SA" w:val="pl-PL"/>
    </w:rPr>
  </w:style>
  <w:style w:type="paragraph" w:styleId="ElwiraTekst" w:customStyle="1">
    <w:name w:val="Elwira Tekst"/>
    <w:basedOn w:val="Normalny"/>
    <w:link w:val="ElwiraTekstZnak"/>
    <w:rsid w:val="00502762"/>
    <w:pPr>
      <w:ind w:left="360"/>
      <w:jc w:val="both"/>
    </w:pPr>
    <w:rPr>
      <w:rFonts w:ascii="Garamond" w:hAnsi="Garamond"/>
      <w:sz w:val="22"/>
      <w:szCs w:val="22"/>
    </w:rPr>
  </w:style>
  <w:style w:type="paragraph" w:styleId="ElwiraNagwek1" w:customStyle="1">
    <w:name w:val="Elwira Nagłówek 1"/>
    <w:basedOn w:val="Nagwek1"/>
    <w:rsid w:val="00502762"/>
    <w:rPr>
      <w:rFonts w:ascii="Garamond" w:hAnsi="Garamond"/>
      <w:sz w:val="24"/>
      <w:szCs w:val="22"/>
    </w:rPr>
  </w:style>
  <w:style w:type="paragraph" w:styleId="Tekstprzypisukocowego">
    <w:name w:val="endnote text"/>
    <w:basedOn w:val="Normalny"/>
    <w:link w:val="TekstprzypisukocowegoZnak"/>
    <w:rsid w:val="00085446"/>
    <w:rPr>
      <w:lang w:val="x-none"/>
    </w:rPr>
  </w:style>
  <w:style w:type="character" w:styleId="TekstprzypisukocowegoZnak" w:customStyle="1">
    <w:name w:val="Tekst przypisu końcowego Znak"/>
    <w:link w:val="Tekstprzypisukocowego"/>
    <w:rsid w:val="00085446"/>
    <w:rPr>
      <w:lang w:eastAsia="ar-SA"/>
    </w:rPr>
  </w:style>
  <w:style w:type="character" w:styleId="TekstprzypisudolnegoZnak" w:customStyle="1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 w:val="1"/>
    <w:locked w:val="1"/>
    <w:rsid w:val="00F16A36"/>
    <w:rPr>
      <w:lang w:eastAsia="ar-SA"/>
    </w:rPr>
  </w:style>
  <w:style w:type="character" w:styleId="NagwekZnak" w:customStyle="1">
    <w:name w:val="Nagłówek Znak"/>
    <w:link w:val="Nagwek"/>
    <w:rsid w:val="00E1531C"/>
    <w:rPr>
      <w:lang w:eastAsia="ar-SA"/>
    </w:rPr>
  </w:style>
  <w:style w:type="character" w:styleId="StopkaZnak" w:customStyle="1">
    <w:name w:val="Stopka Znak"/>
    <w:link w:val="Stopka"/>
    <w:uiPriority w:val="99"/>
    <w:rsid w:val="00687DED"/>
    <w:rPr>
      <w:lang w:eastAsia="ar-SA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 w:val="1"/>
    <w:rsid w:val="00E91AEA"/>
    <w:pPr>
      <w:ind w:left="708"/>
    </w:pPr>
  </w:style>
  <w:style w:type="paragraph" w:styleId="Default" w:customStyle="1">
    <w:name w:val="Default"/>
    <w:rsid w:val="00E91AEA"/>
    <w:pPr>
      <w:autoSpaceDE w:val="0"/>
      <w:autoSpaceDN w:val="0"/>
      <w:adjustRightInd w:val="0"/>
    </w:pPr>
    <w:rPr>
      <w:rFonts w:ascii="Arial" w:cs="Arial" w:eastAsia="Calibri" w:hAnsi="Arial"/>
      <w:color w:val="000000"/>
      <w:sz w:val="24"/>
      <w:szCs w:val="24"/>
      <w:lang w:eastAsia="en-US"/>
    </w:rPr>
  </w:style>
  <w:style w:type="character" w:styleId="Nagwek2Znak" w:customStyle="1">
    <w:name w:val="Nagłówek 2 Znak"/>
    <w:link w:val="Nagwek2"/>
    <w:rsid w:val="00BA1A0E"/>
    <w:rPr>
      <w:rFonts w:ascii="Tahoma" w:hAnsi="Tahoma"/>
      <w:b w:val="1"/>
      <w:sz w:val="24"/>
      <w:lang w:eastAsia="ar-SA"/>
    </w:rPr>
  </w:style>
  <w:style w:type="table" w:styleId="Tabela-Siatka">
    <w:name w:val="Table Grid"/>
    <w:basedOn w:val="Standardowy"/>
    <w:uiPriority w:val="39"/>
    <w:rsid w:val="00BF750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Odwoaniedokomentarza">
    <w:name w:val="annotation reference"/>
    <w:rsid w:val="0023431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3431C"/>
  </w:style>
  <w:style w:type="character" w:styleId="TekstkomentarzaZnak" w:customStyle="1">
    <w:name w:val="Tekst komentarza Znak"/>
    <w:link w:val="Tekstkomentarza"/>
    <w:rsid w:val="0023431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23431C"/>
    <w:rPr>
      <w:b w:val="1"/>
      <w:bCs w:val="1"/>
    </w:rPr>
  </w:style>
  <w:style w:type="character" w:styleId="TematkomentarzaZnak" w:customStyle="1">
    <w:name w:val="Temat komentarza Znak"/>
    <w:link w:val="Tematkomentarza"/>
    <w:rsid w:val="0023431C"/>
    <w:rPr>
      <w:b w:val="1"/>
      <w:bCs w:val="1"/>
      <w:lang w:eastAsia="ar-SA"/>
    </w:rPr>
  </w:style>
  <w:style w:type="character" w:styleId="AkapitzlistZnak" w:customStyle="1">
    <w:name w:val="Akapit z listą Znak"/>
    <w:aliases w:val="Paragraf Znak,Punkt 1.1 Znak,List Paragraph Znak,Numerowanie Znak,Akapit z listą BS Znak,CW_Lista Znak"/>
    <w:link w:val="Akapitzlist"/>
    <w:uiPriority w:val="34"/>
    <w:qFormat w:val="1"/>
    <w:locked w:val="1"/>
    <w:rsid w:val="000A5739"/>
    <w:rPr>
      <w:lang w:eastAsia="ar-SA"/>
    </w:rPr>
  </w:style>
  <w:style w:type="character" w:styleId="Nagwek5Znak" w:customStyle="1">
    <w:name w:val="Nagłówek 5 Znak"/>
    <w:link w:val="Nagwek5"/>
    <w:semiHidden w:val="1"/>
    <w:rsid w:val="006B0051"/>
    <w:rPr>
      <w:rFonts w:ascii="Aptos" w:cs="Times New Roman" w:eastAsia="Times New Roman" w:hAnsi="Aptos"/>
      <w:b w:val="1"/>
      <w:bCs w:val="1"/>
      <w:i w:val="1"/>
      <w:iCs w:val="1"/>
      <w:sz w:val="26"/>
      <w:szCs w:val="26"/>
      <w:lang w:eastAsia="ar-SA"/>
    </w:rPr>
  </w:style>
  <w:style w:type="paragraph" w:styleId="paragraph" w:customStyle="1">
    <w:name w:val="paragraph"/>
    <w:basedOn w:val="Normalny"/>
    <w:qFormat w:val="1"/>
    <w:rsid w:val="00750288"/>
    <w:pPr>
      <w:suppressAutoHyphens w:val="0"/>
      <w:spacing w:after="100" w:afterAutospacing="1" w:before="100" w:beforeAutospacing="1"/>
    </w:pPr>
    <w:rPr>
      <w:sz w:val="24"/>
      <w:szCs w:val="24"/>
      <w:lang w:eastAsia="pl-PL"/>
    </w:rPr>
  </w:style>
  <w:style w:type="character" w:styleId="apple-converted-space" w:customStyle="1">
    <w:name w:val="apple-converted-space"/>
    <w:basedOn w:val="Domylnaczcionkaakapitu"/>
    <w:qFormat w:val="1"/>
    <w:rsid w:val="00750288"/>
  </w:style>
  <w:style w:type="character" w:styleId="eop" w:customStyle="1">
    <w:name w:val="eop"/>
    <w:basedOn w:val="Domylnaczcionkaakapitu"/>
    <w:qFormat w:val="1"/>
    <w:rsid w:val="00750288"/>
  </w:style>
  <w:style w:type="paragraph" w:styleId="Standard" w:customStyle="1">
    <w:name w:val="Standard"/>
    <w:rsid w:val="00750288"/>
    <w:pPr>
      <w:widowControl w:val="0"/>
      <w:suppressAutoHyphens w:val="1"/>
      <w:autoSpaceDN w:val="0"/>
      <w:textAlignment w:val="baseline"/>
    </w:pPr>
    <w:rPr>
      <w:rFonts w:eastAsia="Andale Sans UI"/>
      <w:kern w:val="3"/>
      <w:sz w:val="24"/>
      <w:szCs w:val="24"/>
      <w:lang w:bidi="fa-IR" w:eastAsia="ja-JP"/>
    </w:rPr>
  </w:style>
  <w:style w:type="paragraph" w:styleId="Bezodstpw">
    <w:name w:val="No Spacing"/>
    <w:uiPriority w:val="1"/>
    <w:qFormat w:val="1"/>
    <w:rsid w:val="00750288"/>
    <w:rPr>
      <w:rFonts w:ascii="Calibri" w:eastAsia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E94C86"/>
    <w:rPr>
      <w:color w:val="605e5c"/>
      <w:shd w:color="auto" w:fill="e1dfdd" w:val="clear"/>
    </w:rPr>
  </w:style>
  <w:style w:type="character" w:styleId="normaltextrun" w:customStyle="1">
    <w:name w:val="normaltextrun"/>
    <w:basedOn w:val="Domylnaczcionkaakapitu"/>
    <w:qFormat w:val="1"/>
    <w:rsid w:val="009F3221"/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iCs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azakonkurencyjnosci.funduszeeuropejskie.gov.pl/" TargetMode="External"/><Relationship Id="rId8" Type="http://schemas.openxmlformats.org/officeDocument/2006/relationships/hyperlink" Target="https://bazakonkurencyjnosci.funduszeeuropejskie.gov.pl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h8S3grhjXOeFMU4iahts2HN8Cg==">CgMxLjAyDmguNjl1anNwdzFqYXlwMg5oLm1kMHllcTY1ZHo1dzIOaC5vazZjNmRsejgxY28yDmgucXp0d3M0cmtjNmlwMg5oLm1iYmt5a2NvMmtwczgAciExTWZmSTF1MU5nUlZpdkc4WE0tTzhUbnRvb3BqNURzRks=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2025-12-04T19:30:00Z</dcterms:created>
  <dc:creator>Karina Wójtowicz</dc:creator>
</cp:coreProperties>
</file>